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Rmd" ContentType="text/x-markdown"/>
  <Default Extension="md" ContentType="text/markdown"/>
  <Default Extension="yml" ContentType="text/yaml"/>
  <Default Extension="png" ContentType="image/png"/>
  <Default Extension="jpeg" ContentType="image/jpeg"/>
  <Default Extension="gif" ContentType="image/gif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Stav</w:t>
      </w:r>
      <w:r>
        <w:t xml:space="preserve"> </w:t>
      </w:r>
      <w:r>
        <w:t xml:space="preserve">obecních</w:t>
      </w:r>
      <w:r>
        <w:t xml:space="preserve"> </w:t>
      </w:r>
      <w:r>
        <w:t xml:space="preserve">financí</w:t>
      </w:r>
      <w:r>
        <w:t xml:space="preserve"> </w:t>
      </w:r>
      <w:r>
        <w:t xml:space="preserve">v</w:t>
      </w:r>
      <w:r>
        <w:t xml:space="preserve"> </w:t>
      </w:r>
      <w:r>
        <w:t xml:space="preserve">roce</w:t>
      </w:r>
      <w:r>
        <w:t xml:space="preserve"> </w:t>
      </w:r>
      <w:r>
        <w:t xml:space="preserve">2019</w:t>
      </w:r>
    </w:p>
    <w:bookmarkStart w:id="20" w:name="redoc-codechunk-1"/>
    <w:p>
      <w:pPr>
        <w:pStyle w:val="redoc-codechunk-1"/>
        <w:rPr>
          <w:vanish/>
        </w:rPr>
      </w:pPr>
      <w:r>
        <w:rPr>
          <w:vanish/>
        </w:rPr>
        <w:t xml:space="preserve"> </w:t>
      </w:r>
    </w:p>
    <w:bookmarkEnd w:id="20"/>
    <w:bookmarkStart w:id="21" w:name="redoc-codechunk-2"/>
    <w:p>
      <w:pPr>
        <w:pStyle w:val="redoc-codechunk-2"/>
        <w:rPr>
          <w:vanish/>
        </w:rPr>
      </w:pPr>
      <w:r>
        <w:rPr>
          <w:vanish/>
        </w:rPr>
        <w:t xml:space="preserve"> </w:t>
      </w:r>
    </w:p>
    <w:bookmarkEnd w:id="21"/>
    <w:bookmarkStart w:id="22" w:name="redoc-codechunk-3"/>
    <w:p>
      <w:pPr>
        <w:pStyle w:val="redoc-codechunk-3"/>
        <w:rPr>
          <w:vanish/>
        </w:rPr>
      </w:pPr>
      <w:r>
        <w:rPr>
          <w:vanish/>
        </w:rPr>
        <w:t xml:space="preserve"> </w:t>
      </w:r>
    </w:p>
    <w:bookmarkEnd w:id="22"/>
    <w:p>
      <w:pPr>
        <w:pStyle w:val="FirstParagraph"/>
      </w:pPr>
      <w:hyperlink r:id="rId23">
        <w:r>
          <w:rPr>
            <w:rStyle w:val="Hyperlink"/>
          </w:rPr>
          <w:t xml:space="preserve">Word dokument ke komentování</w:t>
        </w:r>
      </w:hyperlink>
    </w:p>
    <w:bookmarkStart w:id="25" w:name="pracovní-verze"/>
    <w:p>
      <w:pPr>
        <w:pStyle w:val="Heading4"/>
      </w:pPr>
      <w:bookmarkStart w:id="24" w:name="redoc-inlinecode-1"/>
      <w:bookmarkEnd w:id="24"/>
      <w:r>
        <w:t xml:space="preserve"> </w:t>
      </w:r>
      <w:r>
        <w:t xml:space="preserve">Pracovní verze</w:t>
      </w:r>
    </w:p>
    <w:bookmarkEnd w:id="25"/>
    <w:bookmarkStart w:id="38" w:name="příjmy-a-výdaje"/>
    <w:p>
      <w:pPr>
        <w:pStyle w:val="Heading2"/>
      </w:pPr>
      <w:r>
        <w:t xml:space="preserve">Příjmy a výdaje</w:t>
      </w:r>
    </w:p>
    <w:bookmarkStart w:id="29" w:name="příjmy"/>
    <w:p>
      <w:pPr>
        <w:pStyle w:val="Heading3"/>
      </w:pPr>
      <w:r>
        <w:t xml:space="preserve">Příjmy</w:t>
      </w:r>
    </w:p>
    <w:p>
      <w:pPr>
        <w:pStyle w:val="FirstParagraph"/>
      </w:pPr>
      <w:r>
        <w:t xml:space="preserve">Nejdůležitějším zdrojem příjmů obcí je rozpočtové určení daní (RUD), které tvořilo</w:t>
      </w:r>
      <w:r>
        <w:t xml:space="preserve"> </w:t>
      </w:r>
      <w:bookmarkStart w:id="26" w:name="redoc-inlinecode-2"/>
      <w:r>
        <w:rPr>
          <w:rStyle w:val="redoc-inlinecode-2"/>
        </w:rPr>
        <w:t xml:space="preserve">58 %</w:t>
      </w:r>
      <w:bookmarkEnd w:id="26"/>
      <w:r>
        <w:t xml:space="preserve"> </w:t>
      </w:r>
      <w:r>
        <w:t xml:space="preserve">všech příjmů obcí a v součtu</w:t>
      </w:r>
      <w:r>
        <w:t xml:space="preserve"> </w:t>
      </w:r>
      <w:bookmarkStart w:id="27" w:name="redoc-inlinecode-3"/>
      <w:r>
        <w:rPr>
          <w:rStyle w:val="redoc-inlinecode-3"/>
        </w:rPr>
        <w:t xml:space="preserve">209</w:t>
      </w:r>
      <w:bookmarkEnd w:id="27"/>
      <w:r>
        <w:t xml:space="preserve"> </w:t>
      </w:r>
      <w:r>
        <w:t xml:space="preserve">miliard Kč.</w:t>
      </w:r>
    </w:p>
    <w:bookmarkStart w:id="28" w:name="rozpočtové-určení-daní-rud"/>
    <w:p>
      <w:pPr>
        <w:pStyle w:val="Heading4"/>
      </w:pPr>
      <w:r>
        <w:t xml:space="preserve">Rozpočtové určení daní (RUD)</w:t>
      </w:r>
    </w:p>
    <w:p>
      <w:pPr>
        <w:pStyle w:val="FirstParagraph"/>
      </w:pPr>
      <w:r>
        <w:t xml:space="preserve">Rozpočtové určení daní redistribuuje vybrané daně mezi obce a kraje. Týká se daně z příjmu fyzických i právnických osob a DPH. Obce obdrží cca 24 % celkových výnosů těchto daní; na podíl jednotlivých obcí má zásadní vliv počet obyvatel. Kraje pak obdrží celkem cca 9 % výnosu těchto daní.</w:t>
      </w:r>
    </w:p>
    <w:bookmarkEnd w:id="28"/>
    <w:bookmarkEnd w:id="29"/>
    <w:bookmarkStart w:id="37" w:name="výdaje"/>
    <w:p>
      <w:pPr>
        <w:pStyle w:val="Heading3"/>
      </w:pPr>
      <w:r>
        <w:t xml:space="preserve">Výdaje</w:t>
      </w:r>
    </w:p>
    <w:p>
      <w:pPr>
        <w:pStyle w:val="FirstParagraph"/>
      </w:pPr>
      <w:r>
        <w:t xml:space="preserve">Běžné výdaje (například na platy zaměstnanců) činily</w:t>
      </w:r>
      <w:r>
        <w:t xml:space="preserve"> </w:t>
      </w:r>
      <w:bookmarkStart w:id="30" w:name="redoc-inlinecode-4"/>
      <w:r>
        <w:rPr>
          <w:rStyle w:val="redoc-inlinecode-4"/>
        </w:rPr>
        <w:t xml:space="preserve">74 %</w:t>
      </w:r>
      <w:bookmarkEnd w:id="30"/>
      <w:r>
        <w:t xml:space="preserve"> </w:t>
      </w:r>
      <w:r>
        <w:t xml:space="preserve">všech výdajů; v součtu šlo o</w:t>
      </w:r>
      <w:r>
        <w:t xml:space="preserve"> </w:t>
      </w:r>
      <w:bookmarkStart w:id="31" w:name="redoc-inlinecode-5"/>
      <w:r>
        <w:rPr>
          <w:rStyle w:val="redoc-inlinecode-5"/>
        </w:rPr>
        <w:t xml:space="preserve">268</w:t>
      </w:r>
      <w:bookmarkEnd w:id="31"/>
      <w:r>
        <w:t xml:space="preserve"> </w:t>
      </w:r>
      <w:r>
        <w:t xml:space="preserve">miliard Kč. Menší část tvoří kapitálové výdaje (například investice do nemovitostí nebo infrastruktury), které činily zbylých</w:t>
      </w:r>
      <w:r>
        <w:t xml:space="preserve"> </w:t>
      </w:r>
      <w:bookmarkStart w:id="32" w:name="redoc-inlinecode-6"/>
      <w:r>
        <w:rPr>
          <w:rStyle w:val="redoc-inlinecode-6"/>
        </w:rPr>
        <w:t xml:space="preserve">26 %</w:t>
      </w:r>
      <w:bookmarkEnd w:id="32"/>
      <w:r>
        <w:t xml:space="preserve"> </w:t>
      </w:r>
      <w:r>
        <w:t xml:space="preserve">výdajů a v součtu</w:t>
      </w:r>
      <w:r>
        <w:t xml:space="preserve"> </w:t>
      </w:r>
      <w:bookmarkStart w:id="33" w:name="redoc-inlinecode-7"/>
      <w:r>
        <w:rPr>
          <w:rStyle w:val="redoc-inlinecode-7"/>
        </w:rPr>
        <w:t xml:space="preserve">92</w:t>
      </w:r>
      <w:bookmarkEnd w:id="33"/>
      <w:r>
        <w:t xml:space="preserve"> </w:t>
      </w:r>
      <w:r>
        <w:t xml:space="preserve">miliard Kč.</w:t>
      </w:r>
    </w:p>
    <w:bookmarkStart w:id="34" w:name="redoc-codechunk-4"/>
    <w:p>
      <w:pPr>
        <w:pStyle w:val="redoc-codechunk-4"/>
        <w:rPr>
          <w:vanish/>
        </w:rPr>
      </w:pPr>
      <w:r>
        <w:rPr>
          <w:vanish/>
        </w:rPr>
        <w:t xml:space="preserve"> </w:t>
      </w:r>
    </w:p>
    <w:bookmarkEnd w:id="34"/>
    <w:bookmarkStart w:id="35" w:name="redoc-codechunk-5"/>
    <w:p>
      <w:pPr>
        <w:pStyle w:val="redoc-codechunk-5"/>
        <w:rPr>
          <w:vanish/>
        </w:rPr>
      </w:pPr>
      <w:r>
        <w:rPr>
          <w:vanish/>
        </w:rPr>
        <w:t xml:space="preserve"> </w:t>
      </w:r>
    </w:p>
    <w:bookmarkEnd w:id="35"/>
    <w:bookmarkStart w:id="36" w:name="redoc-codechunk-6"/>
    <w:p>
      <w:pPr>
        <w:pStyle w:val="redoc-codechunk-6"/>
        <w:rPr>
          <w:vanish/>
        </w:rPr>
      </w:pPr>
      <w:r>
        <w:rPr>
          <w:vanish/>
        </w:rPr>
        <w:t xml:space="preserve"> </w:t>
      </w:r>
    </w:p>
    <w:bookmarkEnd w:id="36"/>
    <w:bookmarkEnd w:id="37"/>
    <w:bookmarkEnd w:id="38"/>
    <w:bookmarkStart w:id="47" w:name="bilance-rozpočtů"/>
    <w:p>
      <w:pPr>
        <w:pStyle w:val="Heading2"/>
      </w:pPr>
      <w:r>
        <w:t xml:space="preserve">Bilance rozpočtů</w:t>
      </w:r>
    </w:p>
    <w:p>
      <w:pPr>
        <w:pStyle w:val="FirstParagraph"/>
      </w:pPr>
      <w:r>
        <w:t xml:space="preserve">Deficitní rozpočet mělo</w:t>
      </w:r>
      <w:r>
        <w:t xml:space="preserve"> </w:t>
      </w:r>
      <w:bookmarkStart w:id="39" w:name="redoc-inlinecode-8"/>
      <w:r>
        <w:rPr>
          <w:rStyle w:val="redoc-inlinecode-8"/>
        </w:rPr>
        <w:t xml:space="preserve">1697</w:t>
      </w:r>
      <w:bookmarkEnd w:id="39"/>
      <w:r>
        <w:t xml:space="preserve"> </w:t>
      </w:r>
      <w:r>
        <w:t xml:space="preserve">z</w:t>
      </w:r>
      <w:r>
        <w:t xml:space="preserve"> </w:t>
      </w:r>
      <w:bookmarkStart w:id="40" w:name="redoc-inlinecode-9"/>
      <w:r>
        <w:rPr>
          <w:rStyle w:val="redoc-inlinecode-9"/>
        </w:rPr>
        <w:t xml:space="preserve">6254</w:t>
      </w:r>
      <w:bookmarkEnd w:id="40"/>
      <w:r>
        <w:t xml:space="preserve"> </w:t>
      </w:r>
      <w:r>
        <w:t xml:space="preserve">(</w:t>
      </w:r>
      <w:bookmarkStart w:id="41" w:name="redoc-inlinecode-10"/>
      <w:r>
        <w:rPr>
          <w:rStyle w:val="redoc-inlinecode-10"/>
        </w:rPr>
        <w:t xml:space="preserve">27 %</w:t>
      </w:r>
      <w:bookmarkEnd w:id="41"/>
      <w:r>
        <w:t xml:space="preserve">) obcí. Průměrný deficit u těchto obcí byl</w:t>
      </w:r>
      <w:r>
        <w:t xml:space="preserve"> </w:t>
      </w:r>
      <w:bookmarkStart w:id="42" w:name="redoc-inlinecode-11"/>
      <w:r>
        <w:rPr>
          <w:rStyle w:val="redoc-inlinecode-11"/>
        </w:rPr>
        <w:t xml:space="preserve">16 %</w:t>
      </w:r>
      <w:bookmarkEnd w:id="42"/>
      <w:r>
        <w:t xml:space="preserve">, mediánový pak</w:t>
      </w:r>
      <w:r>
        <w:t xml:space="preserve"> </w:t>
      </w:r>
      <w:bookmarkStart w:id="43" w:name="redoc-inlinecode-12"/>
      <w:r>
        <w:rPr>
          <w:rStyle w:val="redoc-inlinecode-12"/>
        </w:rPr>
        <w:t xml:space="preserve">12 %</w:t>
      </w:r>
      <w:bookmarkEnd w:id="43"/>
      <w:r>
        <w:t xml:space="preserve">.</w:t>
      </w:r>
    </w:p>
    <w:p>
      <w:pPr>
        <w:pStyle w:val="BodyText"/>
      </w:pPr>
      <w:r>
        <w:t xml:space="preserve">Celkový deficit obcí s deficitním financováním byl</w:t>
      </w:r>
      <w:r>
        <w:t xml:space="preserve"> </w:t>
      </w:r>
      <w:bookmarkStart w:id="44" w:name="redoc-inlinecode-13"/>
      <w:r>
        <w:rPr>
          <w:rStyle w:val="redoc-inlinecode-13"/>
        </w:rPr>
        <w:t xml:space="preserve">11</w:t>
      </w:r>
      <w:bookmarkEnd w:id="44"/>
      <w:r>
        <w:t xml:space="preserve"> </w:t>
      </w:r>
      <w:r>
        <w:t xml:space="preserve">mld. korun.</w:t>
      </w:r>
    </w:p>
    <w:p>
      <w:pPr>
        <w:pStyle w:val="BodyText"/>
      </w:pPr>
      <w:r>
        <w:t xml:space="preserve">Obce v součtu měly přebytek</w:t>
      </w:r>
      <w:r>
        <w:t xml:space="preserve"> </w:t>
      </w:r>
      <w:bookmarkStart w:id="45" w:name="redoc-inlinecode-14"/>
      <w:r>
        <w:rPr>
          <w:rStyle w:val="redoc-inlinecode-14"/>
        </w:rPr>
        <w:t xml:space="preserve">7,7 %</w:t>
      </w:r>
      <w:bookmarkEnd w:id="45"/>
      <w:r>
        <w:t xml:space="preserve">, tedy</w:t>
      </w:r>
      <w:r>
        <w:t xml:space="preserve"> </w:t>
      </w:r>
      <w:bookmarkStart w:id="46" w:name="redoc-inlinecode-15"/>
      <w:r>
        <w:rPr>
          <w:rStyle w:val="redoc-inlinecode-15"/>
        </w:rPr>
        <w:t xml:space="preserve">28</w:t>
      </w:r>
      <w:bookmarkEnd w:id="46"/>
      <w:r>
        <w:t xml:space="preserve"> </w:t>
      </w:r>
      <w:r>
        <w:t xml:space="preserve">mld. korun.</w:t>
      </w:r>
    </w:p>
    <w:bookmarkEnd w:id="47"/>
    <w:bookmarkStart w:id="60" w:name="dluh"/>
    <w:p>
      <w:pPr>
        <w:pStyle w:val="Heading2"/>
      </w:pPr>
      <w:r>
        <w:t xml:space="preserve">Dluh</w:t>
      </w:r>
    </w:p>
    <w:p>
      <w:pPr>
        <w:pStyle w:val="FirstParagraph"/>
      </w:pPr>
      <w:r>
        <w:t xml:space="preserve">Nenulový dluh mělo</w:t>
      </w:r>
      <w:r>
        <w:t xml:space="preserve"> </w:t>
      </w:r>
      <w:bookmarkStart w:id="48" w:name="redoc-inlinecode-16"/>
      <w:r>
        <w:rPr>
          <w:rStyle w:val="redoc-inlinecode-16"/>
        </w:rPr>
        <w:t xml:space="preserve">2641</w:t>
      </w:r>
      <w:bookmarkEnd w:id="48"/>
      <w:r>
        <w:t xml:space="preserve"> </w:t>
      </w:r>
      <w:r>
        <w:t xml:space="preserve">z</w:t>
      </w:r>
      <w:r>
        <w:t xml:space="preserve"> </w:t>
      </w:r>
      <w:bookmarkStart w:id="49" w:name="redoc-inlinecode-17"/>
      <w:r>
        <w:rPr>
          <w:rStyle w:val="redoc-inlinecode-17"/>
        </w:rPr>
        <w:t xml:space="preserve">6254</w:t>
      </w:r>
      <w:bookmarkEnd w:id="49"/>
      <w:r>
        <w:t xml:space="preserve"> </w:t>
      </w:r>
      <w:r>
        <w:t xml:space="preserve">(</w:t>
      </w:r>
      <w:bookmarkStart w:id="50" w:name="redoc-inlinecode-18"/>
      <w:r>
        <w:rPr>
          <w:rStyle w:val="redoc-inlinecode-18"/>
        </w:rPr>
        <w:t xml:space="preserve">42 %</w:t>
      </w:r>
      <w:bookmarkEnd w:id="50"/>
      <w:r>
        <w:t xml:space="preserve">) obcí a v součtu tento dluh činil</w:t>
      </w:r>
      <w:r>
        <w:t xml:space="preserve"> </w:t>
      </w:r>
      <w:bookmarkStart w:id="51" w:name="redoc-inlinecode-19"/>
      <w:r>
        <w:rPr>
          <w:rStyle w:val="redoc-inlinecode-19"/>
        </w:rPr>
        <w:t xml:space="preserve">64</w:t>
      </w:r>
      <w:bookmarkEnd w:id="51"/>
      <w:r>
        <w:t xml:space="preserve"> </w:t>
      </w:r>
      <w:r>
        <w:t xml:space="preserve">miliard Kč. Mezi obcemi s nenulovým dluhem dosahoval dluh v průměru</w:t>
      </w:r>
      <w:r>
        <w:t xml:space="preserve"> </w:t>
      </w:r>
      <w:bookmarkStart w:id="52" w:name="redoc-inlinecode-20"/>
      <w:r>
        <w:rPr>
          <w:rStyle w:val="redoc-inlinecode-20"/>
        </w:rPr>
        <w:t xml:space="preserve">35 %</w:t>
      </w:r>
      <w:bookmarkEnd w:id="52"/>
      <w:r>
        <w:t xml:space="preserve"> </w:t>
      </w:r>
      <w:r>
        <w:t xml:space="preserve">příjmů (a</w:t>
      </w:r>
      <w:r>
        <w:t xml:space="preserve"> </w:t>
      </w:r>
      <w:bookmarkStart w:id="53" w:name="redoc-inlinecode-21"/>
      <w:r>
        <w:rPr>
          <w:rStyle w:val="redoc-inlinecode-21"/>
        </w:rPr>
        <w:t xml:space="preserve">38 %</w:t>
      </w:r>
      <w:bookmarkEnd w:id="53"/>
      <w:r>
        <w:t xml:space="preserve"> </w:t>
      </w:r>
      <w:r>
        <w:t xml:space="preserve">průměru příjmů za poslední čtyři roky, tj. 2016-2019).</w:t>
      </w:r>
    </w:p>
    <w:bookmarkStart w:id="59" w:name="rozpočtová-odpovědnost"/>
    <w:p>
      <w:pPr>
        <w:pStyle w:val="Heading3"/>
      </w:pPr>
      <w:r>
        <w:t xml:space="preserve">Rozpočtová odpovědnost</w:t>
      </w:r>
    </w:p>
    <w:p>
      <w:pPr>
        <w:pStyle w:val="FirstParagraph"/>
      </w:pPr>
      <w:r>
        <w:t xml:space="preserve">Ministerstvo financí pro monitorování finančního zdraví obcí používá mimo jiné i indikátor rozpočtové odpovědnosti, vypočtený jako podíl dluhu obce k průměrným příjmům obce za poslední 4 roky. Finance obce jsou považovány za problematické, pokud tento poměr přesáhne 60 %.</w:t>
      </w:r>
    </w:p>
    <w:p>
      <w:pPr>
        <w:pStyle w:val="BodyText"/>
      </w:pPr>
      <w:r>
        <w:t xml:space="preserve">V roce 2019 tento práh přesáhlo</w:t>
      </w:r>
      <w:r>
        <w:t xml:space="preserve"> </w:t>
      </w:r>
      <w:bookmarkStart w:id="54" w:name="redoc-inlinecode-22"/>
      <w:r>
        <w:rPr>
          <w:rStyle w:val="redoc-inlinecode-22"/>
        </w:rPr>
        <w:t xml:space="preserve">549</w:t>
      </w:r>
      <w:bookmarkEnd w:id="54"/>
      <w:r>
        <w:t xml:space="preserve"> </w:t>
      </w:r>
      <w:r>
        <w:t xml:space="preserve">(</w:t>
      </w:r>
      <w:bookmarkStart w:id="55" w:name="redoc-inlinecode-23"/>
      <w:r>
        <w:rPr>
          <w:rStyle w:val="redoc-inlinecode-23"/>
        </w:rPr>
        <w:t xml:space="preserve">9 %</w:t>
      </w:r>
      <w:bookmarkEnd w:id="55"/>
      <w:r>
        <w:t xml:space="preserve">) obcí.</w:t>
      </w:r>
    </w:p>
    <w:bookmarkStart w:id="56" w:name="redoc-codechunk-7"/>
    <w:p>
      <w:pPr>
        <w:pStyle w:val="redoc-codechunk-7"/>
        <w:rPr>
          <w:vanish/>
        </w:rPr>
      </w:pPr>
      <w:r>
        <w:rPr>
          <w:vanish/>
        </w:rPr>
        <w:t xml:space="preserve"> </w:t>
      </w:r>
    </w:p>
    <w:bookmarkEnd w:id="56"/>
    <w:bookmarkStart w:id="57" w:name="redoc-codechunk-8"/>
    <w:p>
      <w:pPr>
        <w:pStyle w:val="redoc-codechunk-8"/>
        <w:rPr>
          <w:vanish/>
        </w:rPr>
      </w:pPr>
      <w:r>
        <w:rPr>
          <w:vanish/>
        </w:rPr>
        <w:t xml:space="preserve"> </w:t>
      </w:r>
    </w:p>
    <w:bookmarkEnd w:id="57"/>
    <w:bookmarkStart w:id="58" w:name="redoc-codechunk-9"/>
    <w:p>
      <w:pPr>
        <w:pStyle w:val="redoc-codechunk-9"/>
        <w:rPr>
          <w:vanish/>
        </w:rPr>
      </w:pPr>
      <w:r>
        <w:rPr>
          <w:vanish/>
        </w:rPr>
        <w:t xml:space="preserve"> </w:t>
      </w:r>
    </w:p>
    <w:bookmarkEnd w:id="58"/>
    <w:bookmarkEnd w:id="59"/>
    <w:bookmarkEnd w:id="60"/>
    <w:bookmarkStart w:id="75" w:name="rezervy"/>
    <w:p>
      <w:pPr>
        <w:pStyle w:val="Heading2"/>
      </w:pPr>
      <w:r>
        <w:t xml:space="preserve">Rezervy</w:t>
      </w:r>
    </w:p>
    <w:p>
      <w:pPr>
        <w:pStyle w:val="FirstParagraph"/>
      </w:pPr>
      <w:r>
        <w:t xml:space="preserve">Mediánová obec měla rezervy odpovídající</w:t>
      </w:r>
      <w:r>
        <w:t xml:space="preserve"> </w:t>
      </w:r>
      <w:bookmarkStart w:id="61" w:name="redoc-inlinecode-24"/>
      <w:r>
        <w:rPr>
          <w:rStyle w:val="redoc-inlinecode-24"/>
        </w:rPr>
        <w:t xml:space="preserve">72 %</w:t>
      </w:r>
      <w:bookmarkEnd w:id="61"/>
      <w:r>
        <w:t xml:space="preserve"> </w:t>
      </w:r>
      <w:r>
        <w:t xml:space="preserve">svých ročních příjmů; v součtu tyto rezervy činí</w:t>
      </w:r>
      <w:r>
        <w:t xml:space="preserve"> </w:t>
      </w:r>
      <w:bookmarkStart w:id="62" w:name="redoc-inlinecode-25"/>
      <w:r>
        <w:rPr>
          <w:rStyle w:val="redoc-inlinecode-25"/>
        </w:rPr>
        <w:t xml:space="preserve">208</w:t>
      </w:r>
      <w:bookmarkEnd w:id="62"/>
      <w:r>
        <w:t xml:space="preserve"> </w:t>
      </w:r>
      <w:r>
        <w:t xml:space="preserve">miliard Kč. Za rezervy považujeme krátkodobý finanční majetek, v němž dominují prostředky na běžných účtech.</w:t>
      </w:r>
    </w:p>
    <w:p>
      <w:pPr>
        <w:pStyle w:val="BodyText"/>
      </w:pPr>
      <w:r>
        <w:t xml:space="preserve">Zhruba</w:t>
      </w:r>
      <w:r>
        <w:t xml:space="preserve"> </w:t>
      </w:r>
      <w:bookmarkStart w:id="63" w:name="redoc-inlinecode-26"/>
      <w:r>
        <w:rPr>
          <w:rStyle w:val="redoc-inlinecode-26"/>
        </w:rPr>
        <w:t xml:space="preserve">34 %</w:t>
      </w:r>
      <w:bookmarkEnd w:id="63"/>
      <w:r>
        <w:t xml:space="preserve"> </w:t>
      </w:r>
      <w:r>
        <w:t xml:space="preserve">těchto rezerv ovšem připadá na Prahu a dalších</w:t>
      </w:r>
      <w:r>
        <w:t xml:space="preserve"> </w:t>
      </w:r>
      <w:bookmarkStart w:id="64" w:name="redoc-inlinecode-27"/>
      <w:r>
        <w:rPr>
          <w:rStyle w:val="redoc-inlinecode-27"/>
        </w:rPr>
        <w:t xml:space="preserve">12 %</w:t>
      </w:r>
      <w:bookmarkEnd w:id="64"/>
      <w:r>
        <w:t xml:space="preserve"> </w:t>
      </w:r>
      <w:r>
        <w:t xml:space="preserve">připadá na krajská města.</w:t>
      </w:r>
    </w:p>
    <w:p>
      <w:pPr>
        <w:pStyle w:val="BodyText"/>
      </w:pPr>
      <w:r>
        <w:t xml:space="preserve">Ve stejný moment ovšem obce měly</w:t>
      </w:r>
      <w:r>
        <w:t xml:space="preserve"> </w:t>
      </w:r>
      <w:bookmarkStart w:id="65" w:name="redoc-inlinecode-28"/>
      <w:r>
        <w:rPr>
          <w:rStyle w:val="redoc-inlinecode-28"/>
        </w:rPr>
        <w:t xml:space="preserve">49</w:t>
      </w:r>
      <w:bookmarkEnd w:id="65"/>
      <w:r>
        <w:t xml:space="preserve"> </w:t>
      </w:r>
      <w:r>
        <w:t xml:space="preserve">miliard krátkodobých závazků, k jejichž hrazení mj. hotovost na účtech slouží. Ani zbylé rezervy často nejsou volné peníze; obce je často drží jako prostředky pro předfinancování nebo spolufinancování investičních akcí, které mají být hrazeny z dotací, jejichž časování je často špatně předvídatelné.</w:t>
      </w:r>
    </w:p>
    <w:bookmarkStart w:id="66" w:name="redoc-codechunk-10"/>
    <w:p>
      <w:pPr>
        <w:pStyle w:val="redoc-codechunk-10"/>
        <w:rPr>
          <w:vanish/>
        </w:rPr>
      </w:pPr>
      <w:r>
        <w:rPr>
          <w:vanish/>
        </w:rPr>
        <w:t xml:space="preserve"> </w:t>
      </w:r>
    </w:p>
    <w:bookmarkEnd w:id="66"/>
    <w:bookmarkStart w:id="67" w:name="redoc-codechunk-11"/>
    <w:p>
      <w:pPr>
        <w:pStyle w:val="redoc-codechunk-11"/>
        <w:rPr>
          <w:vanish/>
        </w:rPr>
      </w:pPr>
      <w:r>
        <w:rPr>
          <w:vanish/>
        </w:rPr>
        <w:t xml:space="preserve"> </w:t>
      </w:r>
    </w:p>
    <w:bookmarkEnd w:id="67"/>
    <w:bookmarkStart w:id="68" w:name="redoc-codechunk-12"/>
    <w:p>
      <w:pPr>
        <w:pStyle w:val="redoc-codechunk-12"/>
        <w:rPr>
          <w:vanish/>
        </w:rPr>
      </w:pPr>
      <w:r>
        <w:rPr>
          <w:vanish/>
        </w:rPr>
        <w:t xml:space="preserve"> </w:t>
      </w:r>
    </w:p>
    <w:bookmarkEnd w:id="68"/>
    <w:bookmarkStart w:id="69" w:name="redoc-codechunk-13"/>
    <w:p>
      <w:pPr>
        <w:pStyle w:val="redoc-codechunk-13"/>
        <w:rPr>
          <w:vanish/>
        </w:rPr>
      </w:pPr>
      <w:r>
        <w:rPr>
          <w:vanish/>
        </w:rPr>
        <w:t xml:space="preserve"> </w:t>
      </w:r>
    </w:p>
    <w:bookmarkEnd w:id="69"/>
    <w:bookmarkStart w:id="70" w:name="redoc-codechunk-14"/>
    <w:p>
      <w:pPr>
        <w:pStyle w:val="redoc-codechunk-14"/>
        <w:rPr>
          <w:vanish/>
        </w:rPr>
      </w:pPr>
      <w:r>
        <w:rPr>
          <w:vanish/>
        </w:rPr>
        <w:t xml:space="preserve"> </w:t>
      </w:r>
    </w:p>
    <w:bookmarkEnd w:id="70"/>
    <w:bookmarkStart w:id="71" w:name="redoc-codechunk-15"/>
    <w:p>
      <w:pPr>
        <w:pStyle w:val="redoc-codechunk-15"/>
        <w:rPr>
          <w:vanish/>
        </w:rPr>
      </w:pPr>
      <w:r>
        <w:rPr>
          <w:vanish/>
        </w:rPr>
        <w:t xml:space="preserve"> </w:t>
      </w:r>
    </w:p>
    <w:bookmarkEnd w:id="71"/>
    <w:bookmarkStart w:id="72" w:name="redoc-codechunk-16"/>
    <w:p>
      <w:pPr>
        <w:pStyle w:val="redoc-codechunk-16"/>
        <w:rPr>
          <w:vanish/>
        </w:rPr>
      </w:pPr>
      <w:r>
        <w:rPr>
          <w:vanish/>
        </w:rPr>
        <w:t xml:space="preserve"> </w:t>
      </w:r>
    </w:p>
    <w:bookmarkEnd w:id="72"/>
    <w:bookmarkStart w:id="73" w:name="redoc-codechunk-17"/>
    <w:p>
      <w:pPr>
        <w:pStyle w:val="redoc-codechunk-17"/>
        <w:rPr>
          <w:vanish/>
        </w:rPr>
      </w:pPr>
      <w:r>
        <w:rPr>
          <w:vanish/>
        </w:rPr>
        <w:t xml:space="preserve"> </w:t>
      </w:r>
    </w:p>
    <w:bookmarkEnd w:id="73"/>
    <w:bookmarkStart w:id="74" w:name="redoc-codechunk-18"/>
    <w:p>
      <w:pPr>
        <w:pStyle w:val="redoc-codechunk-18"/>
        <w:rPr>
          <w:vanish/>
        </w:rPr>
      </w:pPr>
      <w:r>
        <w:rPr>
          <w:vanish/>
        </w:rPr>
        <w:t xml:space="preserve"> </w:t>
      </w:r>
    </w:p>
    <w:bookmarkEnd w:id="74"/>
    <w:bookmarkEnd w:id="75"/>
    <w:bookmarkStart w:id="76" w:name="section"/>
    <w:p>
      <w:pPr>
        <w:pStyle w:val="Heading2"/>
      </w:pPr>
    </w:p>
    <w:bookmarkEnd w:id="7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redoc-codechunk-1">
    <w:name w:val="redoc-codechunk-1"/>
    <w:basedOn w:val="BodyText"/>
    <w:qFormat/>
    <w:hidden/>
  </w:style>
  <w:style w:type="paragraph" w:customStyle="1" w:styleId="redoc-codechunk-10">
    <w:name w:val="redoc-codechunk-10"/>
    <w:basedOn w:val="BodyText"/>
    <w:qFormat/>
    <w:hidden/>
  </w:style>
  <w:style w:type="paragraph" w:customStyle="1" w:styleId="redoc-codechunk-11">
    <w:name w:val="redoc-codechunk-11"/>
    <w:basedOn w:val="BodyText"/>
    <w:qFormat/>
    <w:hidden/>
  </w:style>
  <w:style w:type="paragraph" w:customStyle="1" w:styleId="redoc-codechunk-12">
    <w:name w:val="redoc-codechunk-12"/>
    <w:basedOn w:val="BodyText"/>
    <w:qFormat/>
    <w:hidden/>
  </w:style>
  <w:style w:type="paragraph" w:customStyle="1" w:styleId="redoc-codechunk-13">
    <w:name w:val="redoc-codechunk-13"/>
    <w:basedOn w:val="BodyText"/>
    <w:qFormat/>
    <w:hidden/>
  </w:style>
  <w:style w:type="paragraph" w:customStyle="1" w:styleId="redoc-codechunk-14">
    <w:name w:val="redoc-codechunk-14"/>
    <w:basedOn w:val="BodyText"/>
    <w:qFormat/>
    <w:hidden/>
  </w:style>
  <w:style w:type="paragraph" w:customStyle="1" w:styleId="redoc-codechunk-15">
    <w:name w:val="redoc-codechunk-15"/>
    <w:basedOn w:val="BodyText"/>
    <w:qFormat/>
    <w:hidden/>
  </w:style>
  <w:style w:type="paragraph" w:customStyle="1" w:styleId="redoc-codechunk-16">
    <w:name w:val="redoc-codechunk-16"/>
    <w:basedOn w:val="BodyText"/>
    <w:qFormat/>
    <w:hidden/>
  </w:style>
  <w:style w:type="paragraph" w:customStyle="1" w:styleId="redoc-codechunk-17">
    <w:name w:val="redoc-codechunk-17"/>
    <w:basedOn w:val="BodyText"/>
    <w:qFormat/>
    <w:hidden/>
  </w:style>
  <w:style w:type="paragraph" w:customStyle="1" w:styleId="redoc-codechunk-18">
    <w:name w:val="redoc-codechunk-18"/>
    <w:basedOn w:val="BodyText"/>
    <w:qFormat/>
    <w:hidden/>
  </w:style>
  <w:style w:type="paragraph" w:customStyle="1" w:styleId="redoc-codechunk-2">
    <w:name w:val="redoc-codechunk-2"/>
    <w:basedOn w:val="BodyText"/>
    <w:qFormat/>
    <w:hidden/>
  </w:style>
  <w:style w:type="paragraph" w:customStyle="1" w:styleId="redoc-codechunk-3">
    <w:name w:val="redoc-codechunk-3"/>
    <w:basedOn w:val="BodyText"/>
    <w:qFormat/>
    <w:hidden/>
  </w:style>
  <w:style w:type="paragraph" w:customStyle="1" w:styleId="redoc-codechunk-4">
    <w:name w:val="redoc-codechunk-4"/>
    <w:basedOn w:val="BodyText"/>
    <w:qFormat/>
    <w:hidden/>
  </w:style>
  <w:style w:type="paragraph" w:customStyle="1" w:styleId="redoc-codechunk-5">
    <w:name w:val="redoc-codechunk-5"/>
    <w:basedOn w:val="BodyText"/>
    <w:qFormat/>
    <w:hidden/>
  </w:style>
  <w:style w:type="paragraph" w:customStyle="1" w:styleId="redoc-codechunk-6">
    <w:name w:val="redoc-codechunk-6"/>
    <w:basedOn w:val="BodyText"/>
    <w:qFormat/>
    <w:hidden/>
  </w:style>
  <w:style w:type="paragraph" w:customStyle="1" w:styleId="redoc-codechunk-7">
    <w:name w:val="redoc-codechunk-7"/>
    <w:basedOn w:val="BodyText"/>
    <w:qFormat/>
    <w:hidden/>
  </w:style>
  <w:style w:type="paragraph" w:customStyle="1" w:styleId="redoc-codechunk-8">
    <w:name w:val="redoc-codechunk-8"/>
    <w:basedOn w:val="BodyText"/>
    <w:qFormat/>
    <w:hidden/>
  </w:style>
  <w:style w:type="paragraph" w:customStyle="1" w:styleId="redoc-codechunk-9">
    <w:name w:val="redoc-codechunk-9"/>
    <w:basedOn w:val="BodyText"/>
    <w:qFormat/>
    <w:hidden/>
  </w:style>
  <w:style w:type="character" w:customStyle="1" w:styleId="redoc-inlinecode-1">
    <w:name w:val="redoc-inlinecode-1"/>
    <w:basedOn w:val="BodyTextChar"/>
    <w:hidden/>
  </w:style>
  <w:style w:type="character" w:customStyle="1" w:styleId="redoc-inlinecode-10">
    <w:name w:val="redoc-inlinecode-10"/>
    <w:basedOn w:val="BodyTextChar"/>
    <w:hidden/>
  </w:style>
  <w:style w:type="character" w:customStyle="1" w:styleId="redoc-inlinecode-11">
    <w:name w:val="redoc-inlinecode-11"/>
    <w:basedOn w:val="BodyTextChar"/>
    <w:hidden/>
  </w:style>
  <w:style w:type="character" w:customStyle="1" w:styleId="redoc-inlinecode-12">
    <w:name w:val="redoc-inlinecode-12"/>
    <w:basedOn w:val="BodyTextChar"/>
    <w:hidden/>
  </w:style>
  <w:style w:type="character" w:customStyle="1" w:styleId="redoc-inlinecode-13">
    <w:name w:val="redoc-inlinecode-13"/>
    <w:basedOn w:val="BodyTextChar"/>
    <w:hidden/>
  </w:style>
  <w:style w:type="character" w:customStyle="1" w:styleId="redoc-inlinecode-14">
    <w:name w:val="redoc-inlinecode-14"/>
    <w:basedOn w:val="BodyTextChar"/>
    <w:hidden/>
  </w:style>
  <w:style w:type="character" w:customStyle="1" w:styleId="redoc-inlinecode-15">
    <w:name w:val="redoc-inlinecode-15"/>
    <w:basedOn w:val="BodyTextChar"/>
    <w:hidden/>
  </w:style>
  <w:style w:type="character" w:customStyle="1" w:styleId="redoc-inlinecode-16">
    <w:name w:val="redoc-inlinecode-16"/>
    <w:basedOn w:val="BodyTextChar"/>
    <w:hidden/>
  </w:style>
  <w:style w:type="character" w:customStyle="1" w:styleId="redoc-inlinecode-17">
    <w:name w:val="redoc-inlinecode-17"/>
    <w:basedOn w:val="BodyTextChar"/>
    <w:hidden/>
  </w:style>
  <w:style w:type="character" w:customStyle="1" w:styleId="redoc-inlinecode-18">
    <w:name w:val="redoc-inlinecode-18"/>
    <w:basedOn w:val="BodyTextChar"/>
    <w:hidden/>
  </w:style>
  <w:style w:type="character" w:customStyle="1" w:styleId="redoc-inlinecode-19">
    <w:name w:val="redoc-inlinecode-19"/>
    <w:basedOn w:val="BodyTextChar"/>
    <w:hidden/>
  </w:style>
  <w:style w:type="character" w:customStyle="1" w:styleId="redoc-inlinecode-2">
    <w:name w:val="redoc-inlinecode-2"/>
    <w:basedOn w:val="BodyTextChar"/>
    <w:hidden/>
  </w:style>
  <w:style w:type="character" w:customStyle="1" w:styleId="redoc-inlinecode-20">
    <w:name w:val="redoc-inlinecode-20"/>
    <w:basedOn w:val="BodyTextChar"/>
    <w:hidden/>
  </w:style>
  <w:style w:type="character" w:customStyle="1" w:styleId="redoc-inlinecode-21">
    <w:name w:val="redoc-inlinecode-21"/>
    <w:basedOn w:val="BodyTextChar"/>
    <w:hidden/>
  </w:style>
  <w:style w:type="character" w:customStyle="1" w:styleId="redoc-inlinecode-22">
    <w:name w:val="redoc-inlinecode-22"/>
    <w:basedOn w:val="BodyTextChar"/>
    <w:hidden/>
  </w:style>
  <w:style w:type="character" w:customStyle="1" w:styleId="redoc-inlinecode-23">
    <w:name w:val="redoc-inlinecode-23"/>
    <w:basedOn w:val="BodyTextChar"/>
    <w:hidden/>
  </w:style>
  <w:style w:type="character" w:customStyle="1" w:styleId="redoc-inlinecode-24">
    <w:name w:val="redoc-inlinecode-24"/>
    <w:basedOn w:val="BodyTextChar"/>
    <w:hidden/>
  </w:style>
  <w:style w:type="character" w:customStyle="1" w:styleId="redoc-inlinecode-25">
    <w:name w:val="redoc-inlinecode-25"/>
    <w:basedOn w:val="BodyTextChar"/>
    <w:hidden/>
  </w:style>
  <w:style w:type="character" w:customStyle="1" w:styleId="redoc-inlinecode-26">
    <w:name w:val="redoc-inlinecode-26"/>
    <w:basedOn w:val="BodyTextChar"/>
    <w:hidden/>
  </w:style>
  <w:style w:type="character" w:customStyle="1" w:styleId="redoc-inlinecode-27">
    <w:name w:val="redoc-inlinecode-27"/>
    <w:basedOn w:val="BodyTextChar"/>
    <w:hidden/>
  </w:style>
  <w:style w:type="character" w:customStyle="1" w:styleId="redoc-inlinecode-28">
    <w:name w:val="redoc-inlinecode-28"/>
    <w:basedOn w:val="BodyTextChar"/>
    <w:hidden/>
  </w:style>
  <w:style w:type="character" w:customStyle="1" w:styleId="redoc-inlinecode-3">
    <w:name w:val="redoc-inlinecode-3"/>
    <w:basedOn w:val="BodyTextChar"/>
    <w:hidden/>
  </w:style>
  <w:style w:type="character" w:customStyle="1" w:styleId="redoc-inlinecode-4">
    <w:name w:val="redoc-inlinecode-4"/>
    <w:basedOn w:val="BodyTextChar"/>
    <w:hidden/>
  </w:style>
  <w:style w:type="character" w:customStyle="1" w:styleId="redoc-inlinecode-5">
    <w:name w:val="redoc-inlinecode-5"/>
    <w:basedOn w:val="BodyTextChar"/>
    <w:hidden/>
  </w:style>
  <w:style w:type="character" w:customStyle="1" w:styleId="redoc-inlinecode-6">
    <w:name w:val="redoc-inlinecode-6"/>
    <w:basedOn w:val="BodyTextChar"/>
    <w:hidden/>
  </w:style>
  <w:style w:type="character" w:customStyle="1" w:styleId="redoc-inlinecode-7">
    <w:name w:val="redoc-inlinecode-7"/>
    <w:basedOn w:val="BodyTextChar"/>
    <w:hidden/>
  </w:style>
  <w:style w:type="character" w:customStyle="1" w:styleId="redoc-inlinecode-8">
    <w:name w:val="redoc-inlinecode-8"/>
    <w:basedOn w:val="BodyTextChar"/>
    <w:hidden/>
  </w:style>
  <w:style w:type="character" w:customStyle="1" w:styleId="redoc-inlinecode-9">
    <w:name w:val="redoc-inlinecode-9"/>
    <w:basedOn w:val="BodyTextChar"/>
    <w:hidden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 standalone="yes"?>
<Relationships 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openxmlformats.org/officeDocument/2006/relationships/footnotes" Target="footnotes.xml"/><Relationship Id="rId8" Type="http://schemas.openxmlformats.org/officeDocument/2006/relationships/comments" Target="comments.xml"/><Relationship Id="rId23" Type="http://schemas.openxmlformats.org/officeDocument/2006/relationships/hyperlink" Target="stav.docx" TargetMode="External"/><Relationship Id="rId24" Type="http://schemas.openxmlformats.org/officeDocument/2006/relationships/Rmd" Target="../redoc/stav.Rmd"/><Relationship Id="rId25" Type="http://schemas.openxmlformats.org/officeDocument/2006/relationships/md" Target="../redoc/stav.knit.md"/><Relationship Id="rId26" Type="http://schemas.openxmlformats.org/officeDocument/2006/relationships/md" Target="../redoc/stav.utf8.md"/><Relationship Id="rId27" Type="http://schemas.openxmlformats.org/officeDocument/2006/relationships/yml" Target="../redoc/stav.codelist.yml"/><Relationship Id="rId28" Type="http://schemas.openxmlformats.org/officeDocument/2006/relationships/Rmd" Target="../redoc/stav.preprocessed.Rmd"/><Relationship Id="rId29" Type="http://schemas.openxmlformats.org/officeDocument/2006/relationships/png" Target="../redoc/stav_files/figure-docx/unnamed-chunk-10-1.png"/><Relationship Id="rId30" Type="http://schemas.openxmlformats.org/officeDocument/2006/relationships/png" Target="../redoc/stav_files/figure-docx/unnamed-chunk-11-1.png"/><Relationship Id="rId31" Type="http://schemas.openxmlformats.org/officeDocument/2006/relationships/png" Target="../redoc/stav_files/figure-docx/unnamed-chunk-12-1.png"/><Relationship Id="rId32" Type="http://schemas.openxmlformats.org/officeDocument/2006/relationships/png" Target="../redoc/stav_files/figure-docx/unnamed-chunk-13-1.png"/><Relationship Id="rId33" Type="http://schemas.openxmlformats.org/officeDocument/2006/relationships/png" Target="../redoc/stav_files/figure-docx/unnamed-chunk-14-1.png"/><Relationship Id="rId34" Type="http://schemas.openxmlformats.org/officeDocument/2006/relationships/png" Target="../redoc/stav_files/figure-docx/unnamed-chunk-4-1.png"/><Relationship Id="rId35" Type="http://schemas.openxmlformats.org/officeDocument/2006/relationships/png" Target="../redoc/stav_files/figure-docx/unnamed-chunk-7-1.png"/><Relationship Id="rId36" Type="http://schemas.openxmlformats.org/officeDocument/2006/relationships/Rmd" Target="../redoc/stav.roundtrip.Rmd"/><Relationship Id="rId37" Type="http://schemas.openxmlformats.org/officeDocument/2006/relationships/yml" Target="../redoc/stav.diagnostics.yml"/></Relationships>
</file>

<file path=word/_rels/footnotes.xml.rels><?xml version="1.0" encoding="UTF-8" standalone="yes"?>
<Relationships  xmlns="http://schemas.openxmlformats.org/package/2006/relationships"><Relationship Id="rId23" Type="http://schemas.openxmlformats.org/officeDocument/2006/relationships/hyperlink" Target="stav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Stav obecních financí v roce 2019</dc:title>
  <dc:creator/>
  <cp:keywords/>
  <dcterms:created xsi:type="dcterms:W3CDTF">2020-11-20T12:10:00Z</dcterms:created>
  <dcterms:modified xsi:type="dcterms:W3CDTF">2020-11-20T13:10:01Z</dcterms:modified>
  <cp:lastModifiedBy>petr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html_document</vt:lpwstr>
  </property>
  <property fmtid="{D5CDD505-2E9C-101B-9397-08002B2CF9AE}" pid="3" name="params">
    <vt:lpwstr/>
  </property>
</Properties>
</file>